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Pr="008C0602"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14:paraId="45273440" w14:textId="77777777" w:rsidR="00594B57" w:rsidRPr="00F1591F" w:rsidRDefault="00000000" w:rsidP="00594B57">
      <w:pPr>
        <w:jc w:val="both"/>
        <w:rPr>
          <w:rStyle w:val="Hyperkobling"/>
          <w:lang w:val="en-US"/>
        </w:rPr>
      </w:pPr>
      <w:r>
        <w:fldChar w:fldCharType="begin"/>
      </w:r>
      <w:r w:rsidRPr="00F1591F">
        <w:rPr>
          <w:lang w:val="en-US"/>
        </w:rPr>
        <w:instrText xml:space="preserve"> HYPERLINK "https://eur-lex.europa.eu/legal-content/EN/TXT/?uri=CELEX%3A02014R0651-20210801" </w:instrText>
      </w:r>
      <w:r>
        <w:fldChar w:fldCharType="separate"/>
      </w:r>
      <w:r w:rsidR="00594B57" w:rsidRPr="00F1591F">
        <w:rPr>
          <w:rStyle w:val="Hyperkobling"/>
          <w:lang w:val="en-US"/>
        </w:rPr>
        <w:t>EUR-Lex - 02014R0651-20210801 - EN - EUR-Lex (europa.eu)</w:t>
      </w:r>
      <w:r>
        <w:rPr>
          <w:rStyle w:val="Hyperkobling"/>
        </w:rPr>
        <w:fldChar w:fldCharType="end"/>
      </w:r>
    </w:p>
    <w:p w14:paraId="0392EF9C" w14:textId="77777777" w:rsidR="00A5488D" w:rsidRPr="008C0602" w:rsidRDefault="008B301C" w:rsidP="00E653D5">
      <w:pPr>
        <w:jc w:val="both"/>
        <w:rPr>
          <w:rStyle w:val="Hyperkobling"/>
          <w:color w:val="auto"/>
          <w:u w:val="none"/>
          <w:lang w:val="en-GB"/>
        </w:rPr>
      </w:pPr>
      <w:r w:rsidRPr="008C0602">
        <w:rPr>
          <w:rStyle w:val="Hyperkobling"/>
          <w:b/>
          <w:color w:val="auto"/>
          <w:u w:val="none"/>
          <w:lang w:val="en-GB"/>
        </w:rPr>
        <w:t xml:space="preserve">Each undertaking must </w:t>
      </w:r>
      <w:r w:rsidR="00E653D5">
        <w:rPr>
          <w:rStyle w:val="Hyperkobling"/>
          <w:b/>
          <w:color w:val="auto"/>
          <w:u w:val="none"/>
          <w:lang w:val="en-GB"/>
        </w:rPr>
        <w:t xml:space="preserve">provide </w:t>
      </w:r>
      <w:r w:rsidR="00FA500A">
        <w:rPr>
          <w:rStyle w:val="Hyperkobling"/>
          <w:b/>
          <w:color w:val="auto"/>
          <w:u w:val="none"/>
          <w:lang w:val="en-GB"/>
        </w:rPr>
        <w:t>information about</w:t>
      </w:r>
      <w:r w:rsidR="00FA500A" w:rsidRPr="008C0602">
        <w:rPr>
          <w:rStyle w:val="Hyperkobling"/>
          <w:b/>
          <w:color w:val="auto"/>
          <w:u w:val="none"/>
          <w:lang w:val="en-GB"/>
        </w:rPr>
        <w:t xml:space="preserve"> </w:t>
      </w:r>
      <w:r w:rsidR="00E653D5">
        <w:rPr>
          <w:rStyle w:val="Hyperkobling"/>
          <w:b/>
          <w:color w:val="auto"/>
          <w:u w:val="none"/>
          <w:lang w:val="en-GB"/>
        </w:rPr>
        <w:t xml:space="preserve">their circumstances in three areas, and this has been </w:t>
      </w:r>
      <w:r w:rsidRPr="008C0602">
        <w:rPr>
          <w:rStyle w:val="Hyperkobling"/>
          <w:b/>
          <w:color w:val="auto"/>
          <w:u w:val="none"/>
          <w:lang w:val="en-GB"/>
        </w:rPr>
        <w:t xml:space="preserve">consolidated into a single declaration form on page 5 of this document. </w:t>
      </w:r>
      <w:r w:rsidR="00E653D5">
        <w:rPr>
          <w:rStyle w:val="Hyperkobling"/>
          <w:color w:val="auto"/>
          <w:u w:val="none"/>
          <w:lang w:val="en-GB"/>
        </w:rPr>
        <w:t>O</w:t>
      </w:r>
      <w:r w:rsidRPr="008C0602">
        <w:rPr>
          <w:rStyle w:val="Hyperkobling"/>
          <w:color w:val="auto"/>
          <w:u w:val="none"/>
          <w:lang w:val="en-GB"/>
        </w:rPr>
        <w:t xml:space="preserve">nly </w:t>
      </w:r>
      <w:r w:rsidR="00E653D5" w:rsidRPr="008C0602">
        <w:rPr>
          <w:rStyle w:val="Hyperkobling"/>
          <w:color w:val="auto"/>
          <w:u w:val="none"/>
          <w:lang w:val="en-GB"/>
        </w:rPr>
        <w:t>th</w:t>
      </w:r>
      <w:r w:rsidR="00E653D5">
        <w:rPr>
          <w:rStyle w:val="Hyperkobling"/>
          <w:color w:val="auto"/>
          <w:u w:val="none"/>
          <w:lang w:val="en-GB"/>
        </w:rPr>
        <w:t>e</w:t>
      </w:r>
      <w:r w:rsidR="00E653D5" w:rsidRPr="008C0602">
        <w:rPr>
          <w:rStyle w:val="Hyperkobling"/>
          <w:color w:val="auto"/>
          <w:u w:val="none"/>
          <w:lang w:val="en-GB"/>
        </w:rPr>
        <w:t xml:space="preserve"> </w:t>
      </w:r>
      <w:r w:rsidRPr="008C0602">
        <w:rPr>
          <w:rStyle w:val="Hyperkobling"/>
          <w:color w:val="auto"/>
          <w:u w:val="none"/>
          <w:lang w:val="en-GB"/>
        </w:rPr>
        <w:t xml:space="preserve">declaration form </w:t>
      </w:r>
      <w:r w:rsidR="00E653D5">
        <w:rPr>
          <w:rStyle w:val="Hyperkobling"/>
          <w:color w:val="auto"/>
          <w:u w:val="none"/>
          <w:lang w:val="en-GB"/>
        </w:rPr>
        <w:t xml:space="preserve">itself </w:t>
      </w:r>
      <w:r w:rsidRPr="008C0602">
        <w:rPr>
          <w:rStyle w:val="Hyperkobling"/>
          <w:color w:val="auto"/>
          <w:u w:val="none"/>
          <w:lang w:val="en-GB"/>
        </w:rPr>
        <w:t xml:space="preserve">is to be filled in, signed and uploaded as an attachment to the revised grant application. </w:t>
      </w:r>
      <w:r w:rsidR="009C19CE" w:rsidRPr="008C0602">
        <w:rPr>
          <w:rStyle w:val="Hyperkobling"/>
          <w:color w:val="auto"/>
          <w:u w:val="none"/>
          <w:lang w:val="en-GB"/>
        </w:rPr>
        <w:t xml:space="preserve">Only </w:t>
      </w:r>
      <w:r w:rsidRPr="008C0602">
        <w:rPr>
          <w:rStyle w:val="Hyperkobling"/>
          <w:color w:val="auto"/>
          <w:u w:val="none"/>
          <w:lang w:val="en-GB"/>
        </w:rPr>
        <w:t>attachments in pdf-format</w:t>
      </w:r>
      <w:r w:rsidR="009C19CE" w:rsidRPr="008C0602">
        <w:rPr>
          <w:rStyle w:val="Hyperkobling"/>
          <w:color w:val="auto"/>
          <w:u w:val="none"/>
          <w:lang w:val="en-GB"/>
        </w:rPr>
        <w:t xml:space="preserve"> can be uploaded</w:t>
      </w:r>
      <w:r w:rsidRPr="008C0602">
        <w:rPr>
          <w:rStyle w:val="Hyperkobling"/>
          <w:color w:val="auto"/>
          <w:u w:val="none"/>
          <w:lang w:val="en-GB"/>
        </w:rPr>
        <w:t>.</w:t>
      </w:r>
      <w:r w:rsidR="009C19CE" w:rsidRPr="008C0602">
        <w:rPr>
          <w:rStyle w:val="Hyperkobling"/>
          <w:color w:val="auto"/>
          <w:u w:val="none"/>
          <w:lang w:val="en-GB"/>
        </w:rPr>
        <w:t xml:space="preserve"> The Pr</w:t>
      </w:r>
      <w:r w:rsidR="008C0602">
        <w:rPr>
          <w:rStyle w:val="Hyperkobling"/>
          <w:color w:val="auto"/>
          <w:u w:val="none"/>
          <w:lang w:val="en-GB"/>
        </w:rPr>
        <w:t>oject Owner is responsible for obtaining</w:t>
      </w:r>
      <w:r w:rsidR="009C19CE" w:rsidRPr="008C0602">
        <w:rPr>
          <w:rStyle w:val="Hyperkobling"/>
          <w:color w:val="auto"/>
          <w:u w:val="none"/>
          <w:lang w:val="en-GB"/>
        </w:rPr>
        <w:t xml:space="preserve"> completed declaration forms for all undertakings required to submit them.</w:t>
      </w:r>
      <w:r w:rsidR="00E20302" w:rsidRPr="008C0602">
        <w:rPr>
          <w:rStyle w:val="Hyperkobling"/>
          <w:color w:val="auto"/>
          <w:u w:val="none"/>
          <w:lang w:val="en-GB"/>
        </w:rPr>
        <w:t xml:space="preserve"> </w:t>
      </w:r>
    </w:p>
    <w:p w14:paraId="36FEE892" w14:textId="77777777" w:rsidR="00A74E8D" w:rsidRPr="008C0602" w:rsidRDefault="00575B3A" w:rsidP="00E653D5">
      <w:pPr>
        <w:jc w:val="both"/>
        <w:rPr>
          <w:rStyle w:val="Hyperkobling"/>
          <w:b/>
          <w:color w:val="auto"/>
          <w:u w:val="none"/>
          <w:lang w:val="en-GB"/>
        </w:rPr>
      </w:pPr>
      <w:r w:rsidRPr="008C0602">
        <w:rPr>
          <w:rStyle w:val="Hyperkobling"/>
          <w:b/>
          <w:color w:val="auto"/>
          <w:u w:val="none"/>
          <w:lang w:val="en-GB"/>
        </w:rPr>
        <w:t xml:space="preserve">Information about the three parts of the declaration </w:t>
      </w:r>
      <w:r w:rsidR="00FA500A">
        <w:rPr>
          <w:rStyle w:val="Hyperkobling"/>
          <w:b/>
          <w:color w:val="auto"/>
          <w:u w:val="none"/>
          <w:lang w:val="en-GB"/>
        </w:rPr>
        <w:t xml:space="preserve">form </w:t>
      </w:r>
      <w:r w:rsidRPr="008C0602">
        <w:rPr>
          <w:rStyle w:val="Hyperkobling"/>
          <w:b/>
          <w:color w:val="auto"/>
          <w:u w:val="none"/>
          <w:lang w:val="en-GB"/>
        </w:rPr>
        <w:t xml:space="preserve">is provided below. </w:t>
      </w:r>
      <w:r w:rsidR="00E8439F" w:rsidRPr="008C0602">
        <w:rPr>
          <w:rStyle w:val="Hyperkobling"/>
          <w:b/>
          <w:color w:val="auto"/>
          <w:u w:val="none"/>
          <w:lang w:val="en-GB"/>
        </w:rPr>
        <w:t xml:space="preserve">Applicants are requested to </w:t>
      </w:r>
      <w:r w:rsidRPr="008C0602">
        <w:rPr>
          <w:rStyle w:val="Hyperkobling"/>
          <w:b/>
          <w:color w:val="auto"/>
          <w:u w:val="none"/>
          <w:lang w:val="en-GB"/>
        </w:rPr>
        <w:t xml:space="preserve">read this </w:t>
      </w:r>
      <w:r w:rsidR="008C0602">
        <w:rPr>
          <w:rStyle w:val="Hyperkobling"/>
          <w:b/>
          <w:color w:val="auto"/>
          <w:u w:val="none"/>
          <w:lang w:val="en-GB"/>
        </w:rPr>
        <w:t xml:space="preserve">information </w:t>
      </w:r>
      <w:r w:rsidRPr="008C0602">
        <w:rPr>
          <w:rStyle w:val="Hyperkobling"/>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hyperlink r:id="rId11" w:history="1">
        <w:r w:rsidRPr="008572BA">
          <w:rPr>
            <w:rStyle w:val="Hyperkobling"/>
            <w:lang w:val="en-US"/>
          </w:rPr>
          <w:t>that last year's average exchange rate</w:t>
        </w:r>
      </w:hyperlink>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reason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Applicants whose relationship with public bodies could mean that their enterprise cannot qualify as an SME are also requested to give careful consideration to this issue.</w:t>
      </w:r>
    </w:p>
    <w:p w14:paraId="0741A072" w14:textId="408D34F5" w:rsidR="00A74E8D" w:rsidRPr="008C0602" w:rsidRDefault="00000000">
      <w:pPr>
        <w:spacing w:line="276" w:lineRule="auto"/>
        <w:rPr>
          <w:lang w:val="en-GB"/>
        </w:rPr>
      </w:pPr>
      <w:hyperlink r:id="rId12" w:history="1">
        <w:r w:rsidR="00F3516C" w:rsidRPr="00D565F7">
          <w:rPr>
            <w:rStyle w:val="Hyperkobling"/>
            <w:lang w:val="en-US"/>
          </w:rPr>
          <w:t>User guide to the SME definition - Publications Office of the EU (europa.eu)</w:t>
        </w:r>
      </w:hyperlink>
    </w:p>
    <w:p w14:paraId="7BB4E152" w14:textId="77777777" w:rsidR="002C7D7E" w:rsidRPr="008C0602" w:rsidRDefault="00CF105F" w:rsidP="00BB0A90">
      <w:pPr>
        <w:pStyle w:val="Alt0"/>
        <w:rPr>
          <w:lang w:val="en-GB"/>
        </w:rPr>
      </w:pPr>
      <w:r w:rsidRPr="008C0602">
        <w:rPr>
          <w:lang w:val="en-GB"/>
        </w:rPr>
        <w:lastRenderedPageBreak/>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36CC18B"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tnotereferanse"/>
          <w:lang w:val="en-US"/>
        </w:rPr>
        <w:footnoteReference w:id="1"/>
      </w:r>
      <w:r w:rsidRPr="00354336">
        <w:rPr>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005E3AB1">
        <w:rPr>
          <w:lang w:val="en-US"/>
        </w:rPr>
        <w:t>1</w:t>
      </w:r>
      <w:r w:rsidRPr="00354336">
        <w:rPr>
          <w:lang w:val="en-US"/>
        </w:rPr>
        <w:t xml:space="preserve"> </w:t>
      </w:r>
      <w:r w:rsidR="006D5A04">
        <w:rPr>
          <w:lang w:val="en-US"/>
        </w:rPr>
        <w:t>December</w:t>
      </w:r>
      <w:r w:rsidRPr="00354336">
        <w:rPr>
          <w:lang w:val="en-US"/>
        </w:rPr>
        <w:t xml:space="preserve"> 2021 are eligible to receive state aid after all.</w:t>
      </w:r>
    </w:p>
    <w:p w14:paraId="225CE52C" w14:textId="2B348021"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00D476E0">
        <w:rPr>
          <w:lang w:val="en-US"/>
        </w:rPr>
        <w:t xml:space="preserve"> </w:t>
      </w:r>
      <w:r w:rsidRPr="00394F7D">
        <w:rPr>
          <w:lang w:val="en-US"/>
        </w:rPr>
        <w:t xml:space="preserve">1 January 2020 to </w:t>
      </w:r>
      <w:proofErr w:type="gramStart"/>
      <w:r w:rsidRPr="00394F7D">
        <w:rPr>
          <w:lang w:val="en-US"/>
        </w:rPr>
        <w:t>3</w:t>
      </w:r>
      <w:r w:rsidR="004B38BD">
        <w:rPr>
          <w:lang w:val="en-US"/>
        </w:rPr>
        <w:t>1</w:t>
      </w:r>
      <w:r w:rsidRPr="00394F7D">
        <w:rPr>
          <w:lang w:val="en-US"/>
        </w:rPr>
        <w:t xml:space="preserve"> </w:t>
      </w:r>
      <w:r w:rsidR="004B38BD">
        <w:rPr>
          <w:lang w:val="en-US"/>
        </w:rPr>
        <w:t>December</w:t>
      </w:r>
      <w:r w:rsidR="00FA5F05">
        <w:rPr>
          <w:lang w:val="en-US"/>
        </w:rPr>
        <w:t xml:space="preserve"> </w:t>
      </w:r>
      <w:r w:rsidRPr="00394F7D">
        <w:rPr>
          <w:lang w:val="en-US"/>
        </w:rPr>
        <w:t>2021, but</w:t>
      </w:r>
      <w:proofErr w:type="gramEnd"/>
      <w:r w:rsidRPr="00394F7D">
        <w:rPr>
          <w:lang w:val="en-US"/>
        </w:rPr>
        <w:t xml:space="preserve"> was not an undertaking in difficulty on 31 December 2019. For the last alternative, the undertaking must document that it was not in difficulty on 31 December 2019. The documentation must be attached to the declaration.</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w:t>
      </w:r>
      <w:r w:rsidRPr="008C0602">
        <w:rPr>
          <w:i/>
          <w:lang w:val="en-GB"/>
        </w:rPr>
        <w:lastRenderedPageBreak/>
        <w:t xml:space="preserve">company’ refers in particular to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Pr="008C0602" w:rsidRDefault="002C7D7E" w:rsidP="002C7D7E">
      <w:pPr>
        <w:ind w:left="708" w:firstLine="708"/>
        <w:jc w:val="both"/>
        <w:rPr>
          <w:i/>
          <w:lang w:val="en-GB"/>
        </w:rPr>
      </w:pPr>
      <w:r w:rsidRPr="008C0602">
        <w:rPr>
          <w:i/>
          <w:lang w:val="en-GB"/>
        </w:rPr>
        <w:t>(2) the undertaking's EBITDA interest coverage ratio has been below 1,0.</w:t>
      </w: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tnotereferanse"/>
          <w:lang w:val="en-GB"/>
        </w:rPr>
        <w:footnoteReference w:id="2"/>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lastRenderedPageBreak/>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Overskrift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w:t>
      </w:r>
      <w:proofErr w:type="gramStart"/>
      <w:r w:rsidRPr="00401B85">
        <w:rPr>
          <w:i/>
          <w:sz w:val="22"/>
          <w:lang w:val="en-GB"/>
        </w:rPr>
        <w:t>signed</w:t>
      </w:r>
      <w:proofErr w:type="gramEnd"/>
      <w:r w:rsidRPr="00401B85">
        <w:rPr>
          <w:i/>
          <w:sz w:val="22"/>
          <w:lang w:val="en-GB"/>
        </w:rPr>
        <w:t xml:space="preserve">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1"/>
        <w:gridCol w:w="6149"/>
      </w:tblGrid>
      <w:tr w:rsidR="00BB596B" w:rsidRPr="008C0602" w14:paraId="63725815" w14:textId="77777777" w:rsidTr="002C61B9">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rsidP="002C61B9">
            <w:pPr>
              <w:jc w:val="both"/>
              <w:rPr>
                <w:sz w:val="22"/>
                <w:lang w:val="en-GB"/>
              </w:rPr>
            </w:pPr>
          </w:p>
        </w:tc>
        <w:tc>
          <w:tcPr>
            <w:tcW w:w="6267" w:type="dxa"/>
          </w:tcPr>
          <w:p w14:paraId="2ED2AE38" w14:textId="77777777" w:rsidR="00BB596B" w:rsidRPr="008C0602" w:rsidRDefault="00BB596B" w:rsidP="002C61B9">
            <w:pPr>
              <w:jc w:val="both"/>
              <w:rPr>
                <w:sz w:val="22"/>
                <w:lang w:val="en-GB"/>
              </w:rPr>
            </w:pPr>
          </w:p>
        </w:tc>
      </w:tr>
      <w:tr w:rsidR="00BB596B" w:rsidRPr="008C0602" w14:paraId="5421BC7B" w14:textId="77777777" w:rsidTr="002C61B9">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rsidP="002C61B9">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000000">
        <w:rPr>
          <w:sz w:val="22"/>
          <w:lang w:val="en-GB"/>
        </w:rPr>
      </w:r>
      <w:r w:rsidR="00000000">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6EEEF29D"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0" w:name="Check1"/>
      <w:r w:rsidR="008D0FB5" w:rsidRPr="00FB2633">
        <w:rPr>
          <w:lang w:val="en-US"/>
        </w:rPr>
        <w:instrText xml:space="preserve">FORMCHECKBOX </w:instrText>
      </w:r>
      <w:r w:rsidR="00000000">
        <w:rPr>
          <w:lang w:val="en-GB"/>
        </w:rPr>
      </w:r>
      <w:r w:rsidR="00000000">
        <w:rPr>
          <w:lang w:val="en-GB"/>
        </w:rPr>
        <w:fldChar w:fldCharType="separate"/>
      </w:r>
      <w:r w:rsidR="008D0FB5">
        <w:rPr>
          <w:lang w:val="en-GB"/>
        </w:rPr>
        <w:fldChar w:fldCharType="end"/>
      </w:r>
      <w:bookmarkEnd w:id="0"/>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1"/>
        <w:gridCol w:w="7679"/>
      </w:tblGrid>
      <w:tr w:rsidR="00BB596B" w:rsidRPr="008C0602" w14:paraId="3116532C" w14:textId="77777777" w:rsidTr="002C61B9">
        <w:tc>
          <w:tcPr>
            <w:tcW w:w="1384" w:type="dxa"/>
            <w:vAlign w:val="center"/>
          </w:tcPr>
          <w:p w14:paraId="262B6D43" w14:textId="75C2A092" w:rsidR="00BB596B" w:rsidRPr="00676A87" w:rsidRDefault="008C0602" w:rsidP="008D25B7">
            <w:pPr>
              <w:spacing w:line="276" w:lineRule="auto"/>
              <w:rPr>
                <w:rStyle w:val="Hyperkobling"/>
                <w:color w:val="auto"/>
                <w:sz w:val="22"/>
                <w:u w:val="none"/>
                <w:lang w:val="en-GB"/>
              </w:rPr>
            </w:pPr>
            <w:r w:rsidRPr="008C0602">
              <w:rPr>
                <w:sz w:val="22"/>
                <w:lang w:val="en-GB"/>
              </w:rPr>
              <w:t>Place/date:</w:t>
            </w:r>
          </w:p>
        </w:tc>
        <w:tc>
          <w:tcPr>
            <w:tcW w:w="7826" w:type="dxa"/>
          </w:tcPr>
          <w:p w14:paraId="6B0B71B6" w14:textId="77777777" w:rsidR="00BB596B" w:rsidRPr="000752B8" w:rsidRDefault="00BB596B" w:rsidP="002C61B9">
            <w:pPr>
              <w:jc w:val="both"/>
              <w:rPr>
                <w:rStyle w:val="Hyperkobling"/>
                <w:sz w:val="32"/>
                <w:szCs w:val="32"/>
                <w:lang w:val="en-GB"/>
              </w:rPr>
            </w:pPr>
          </w:p>
        </w:tc>
      </w:tr>
      <w:tr w:rsidR="00BB596B" w:rsidRPr="008C0602" w14:paraId="685EF41B" w14:textId="77777777" w:rsidTr="002C61B9">
        <w:tc>
          <w:tcPr>
            <w:tcW w:w="1384" w:type="dxa"/>
            <w:vAlign w:val="center"/>
          </w:tcPr>
          <w:p w14:paraId="43838E59" w14:textId="564CD104" w:rsidR="00BB596B" w:rsidRPr="00676A87" w:rsidRDefault="008C0602" w:rsidP="00676A87">
            <w:pPr>
              <w:spacing w:line="276" w:lineRule="auto"/>
              <w:rPr>
                <w:rStyle w:val="Hyperkobling"/>
                <w:color w:val="auto"/>
                <w:sz w:val="22"/>
                <w:u w:val="none"/>
                <w:lang w:val="en-GB"/>
              </w:rPr>
            </w:pPr>
            <w:r w:rsidRPr="008C0602">
              <w:rPr>
                <w:sz w:val="22"/>
                <w:lang w:val="en-GB"/>
              </w:rPr>
              <w:t>Name:</w:t>
            </w:r>
          </w:p>
        </w:tc>
        <w:tc>
          <w:tcPr>
            <w:tcW w:w="7826" w:type="dxa"/>
          </w:tcPr>
          <w:p w14:paraId="28F8B5B0" w14:textId="77777777" w:rsidR="00BB596B" w:rsidRPr="000752B8" w:rsidRDefault="00BB596B" w:rsidP="002C61B9">
            <w:pPr>
              <w:jc w:val="both"/>
              <w:rPr>
                <w:rStyle w:val="Hyperkobling"/>
                <w:sz w:val="32"/>
                <w:szCs w:val="32"/>
                <w:lang w:val="en-GB"/>
              </w:rPr>
            </w:pPr>
          </w:p>
        </w:tc>
      </w:tr>
      <w:tr w:rsidR="00BB596B" w:rsidRPr="008C0602" w14:paraId="233A3C53" w14:textId="77777777" w:rsidTr="002C61B9">
        <w:tc>
          <w:tcPr>
            <w:tcW w:w="1384" w:type="dxa"/>
            <w:vAlign w:val="center"/>
          </w:tcPr>
          <w:p w14:paraId="1DC7A17A" w14:textId="77777777" w:rsidR="008D25B7" w:rsidRPr="008C0602" w:rsidRDefault="008C0602" w:rsidP="008D25B7">
            <w:pPr>
              <w:spacing w:line="276" w:lineRule="auto"/>
              <w:rPr>
                <w:rStyle w:val="Hyperkobling"/>
                <w:sz w:val="22"/>
                <w:lang w:val="en-GB"/>
              </w:rPr>
            </w:pPr>
            <w:r w:rsidRPr="008C0602">
              <w:rPr>
                <w:sz w:val="22"/>
                <w:lang w:val="en-GB"/>
              </w:rPr>
              <w:t xml:space="preserve">Position: </w:t>
            </w:r>
          </w:p>
        </w:tc>
        <w:tc>
          <w:tcPr>
            <w:tcW w:w="7826" w:type="dxa"/>
          </w:tcPr>
          <w:p w14:paraId="7470B770" w14:textId="6D12C302" w:rsidR="00622062" w:rsidRPr="000752B8" w:rsidRDefault="004058BC" w:rsidP="002C61B9">
            <w:pPr>
              <w:jc w:val="both"/>
              <w:rPr>
                <w:rStyle w:val="Hyperkobling"/>
                <w:sz w:val="32"/>
                <w:szCs w:val="32"/>
                <w:lang w:val="en-GB"/>
              </w:rPr>
            </w:pPr>
            <w:r w:rsidRPr="000752B8">
              <w:rPr>
                <w:rStyle w:val="Hyperkobling"/>
                <w:sz w:val="32"/>
                <w:szCs w:val="32"/>
                <w:lang w:val="en-GB"/>
              </w:rPr>
              <w:t xml:space="preserve"> </w:t>
            </w:r>
          </w:p>
        </w:tc>
      </w:tr>
      <w:tr w:rsidR="00BB596B" w:rsidRPr="008C0602" w14:paraId="0BDA1FFB" w14:textId="77777777" w:rsidTr="002C61B9">
        <w:tc>
          <w:tcPr>
            <w:tcW w:w="1384" w:type="dxa"/>
            <w:vAlign w:val="center"/>
          </w:tcPr>
          <w:p w14:paraId="1C0D27AD" w14:textId="6A7A8D1B" w:rsidR="00BB596B" w:rsidRPr="00D97E5E" w:rsidRDefault="00BB596B" w:rsidP="002C61B9">
            <w:pPr>
              <w:rPr>
                <w:rStyle w:val="Hyperkobling"/>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rsidP="002C61B9">
            <w:pPr>
              <w:jc w:val="both"/>
              <w:rPr>
                <w:rStyle w:val="Hyperkobling"/>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A28E" w14:textId="77777777" w:rsidR="009B7804" w:rsidRDefault="009B7804" w:rsidP="00A5488D">
      <w:pPr>
        <w:spacing w:after="0"/>
      </w:pPr>
      <w:r>
        <w:separator/>
      </w:r>
    </w:p>
  </w:endnote>
  <w:endnote w:type="continuationSeparator" w:id="0">
    <w:p w14:paraId="13F54398" w14:textId="77777777" w:rsidR="009B7804" w:rsidRDefault="009B7804"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55228"/>
      <w:docPartObj>
        <w:docPartGallery w:val="Page Numbers (Bottom of Page)"/>
        <w:docPartUnique/>
      </w:docPartObj>
    </w:sdtPr>
    <w:sdtContent>
      <w:p w14:paraId="4455A596" w14:textId="77777777" w:rsidR="00D80B88" w:rsidRDefault="00D80B88">
        <w:pPr>
          <w:pStyle w:val="Bunntekst"/>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EEFC" w14:textId="77777777" w:rsidR="009B7804" w:rsidRDefault="009B7804" w:rsidP="00A5488D">
      <w:pPr>
        <w:spacing w:after="0"/>
      </w:pPr>
      <w:r>
        <w:separator/>
      </w:r>
    </w:p>
  </w:footnote>
  <w:footnote w:type="continuationSeparator" w:id="0">
    <w:p w14:paraId="2C626342" w14:textId="77777777" w:rsidR="009B7804" w:rsidRDefault="009B7804" w:rsidP="00A5488D">
      <w:pPr>
        <w:spacing w:after="0"/>
      </w:pPr>
      <w:r>
        <w:continuationSeparator/>
      </w:r>
    </w:p>
  </w:footnote>
  <w:footnote w:id="1">
    <w:p w14:paraId="415B10A0" w14:textId="6F9D0FAE"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 startup aid schemes and regional operating aid schemes,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1060D826"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A04" w14:textId="5E060FC5" w:rsidR="00DD5045" w:rsidRDefault="00A9340D" w:rsidP="00DD5045">
    <w:pPr>
      <w:pStyle w:val="Topptekst"/>
    </w:pPr>
    <w:r>
      <w:rPr>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68F46D12" w:rsidR="00990736" w:rsidRDefault="00893091">
    <w:pPr>
      <w:pStyle w:val="Topptekst"/>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w:t>
    </w:r>
    <w:r w:rsidR="00F1591F">
      <w:rPr>
        <w:sz w:val="20"/>
        <w:szCs w:val="20"/>
      </w:rPr>
      <w:t>5</w:t>
    </w:r>
    <w:r w:rsidR="00EC310E">
      <w:rPr>
        <w:sz w:val="20"/>
        <w:szCs w:val="20"/>
      </w:rPr>
      <w:t>.0</w:t>
    </w:r>
    <w:r w:rsidR="00F1591F">
      <w:rPr>
        <w:sz w:val="20"/>
        <w:szCs w:val="20"/>
      </w:rPr>
      <w:t>2</w:t>
    </w:r>
    <w:r w:rsidR="00EC310E">
      <w:rPr>
        <w:sz w:val="20"/>
        <w:szCs w:val="20"/>
      </w:rPr>
      <w:t>.202</w:t>
    </w:r>
    <w:r w:rsidR="00F1591F">
      <w:rPr>
        <w:sz w:val="20"/>
        <w:szCs w:val="20"/>
      </w:rPr>
      <w:t>4</w:t>
    </w:r>
  </w:p>
  <w:p w14:paraId="3B72B0EB" w14:textId="77777777" w:rsidR="00D80B88" w:rsidRPr="00D80B88" w:rsidRDefault="00D80B88">
    <w:pPr>
      <w:pStyle w:val="Topptekst"/>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6E7D" w14:textId="6994AD54" w:rsidR="00DD5045" w:rsidRDefault="00AA5490" w:rsidP="00DD5045">
    <w:pPr>
      <w:pStyle w:val="Topptekst"/>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2AB2C0E6" w:rsidR="00990736" w:rsidRPr="00D80B88" w:rsidRDefault="00D80B88" w:rsidP="00DD5045">
    <w:pPr>
      <w:pStyle w:val="Topptekst"/>
      <w:jc w:val="right"/>
      <w:rPr>
        <w:sz w:val="20"/>
        <w:szCs w:val="20"/>
        <w:lang w:val="en-US"/>
      </w:rPr>
    </w:pPr>
    <w:r>
      <w:rPr>
        <w:sz w:val="20"/>
        <w:szCs w:val="20"/>
        <w:lang w:val="en-US"/>
      </w:rPr>
      <w:t xml:space="preserve">Version date: </w:t>
    </w:r>
    <w:r w:rsidR="00F1591F">
      <w:rPr>
        <w:sz w:val="20"/>
        <w:szCs w:val="20"/>
        <w:lang w:val="en-US"/>
      </w:rPr>
      <w:t>05</w:t>
    </w:r>
    <w:r w:rsidR="00EC310E">
      <w:rPr>
        <w:sz w:val="20"/>
        <w:szCs w:val="20"/>
        <w:lang w:val="en-US"/>
      </w:rPr>
      <w:t>.0</w:t>
    </w:r>
    <w:r w:rsidR="00F1591F">
      <w:rPr>
        <w:sz w:val="20"/>
        <w:szCs w:val="20"/>
        <w:lang w:val="en-US"/>
      </w:rPr>
      <w:t>2</w:t>
    </w:r>
    <w:r w:rsidR="00EC310E">
      <w:rPr>
        <w:sz w:val="20"/>
        <w:szCs w:val="20"/>
        <w:lang w:val="en-US"/>
      </w:rPr>
      <w:t>.202</w:t>
    </w:r>
    <w:r w:rsidR="00F1591F">
      <w:rPr>
        <w:sz w:val="20"/>
        <w:szCs w:val="20"/>
        <w:lang w:val="en-US"/>
      </w:rPr>
      <w:t>4</w:t>
    </w:r>
  </w:p>
  <w:p w14:paraId="45A96124" w14:textId="77777777" w:rsidR="0037247A" w:rsidRPr="00DD5045" w:rsidRDefault="0037247A">
    <w:pPr>
      <w:pStyle w:val="Topptekst"/>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81384"/>
    <w:rsid w:val="00283688"/>
    <w:rsid w:val="002A25C3"/>
    <w:rsid w:val="002A389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5154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D00DF"/>
    <w:rsid w:val="005D1B1E"/>
    <w:rsid w:val="005E3AB1"/>
    <w:rsid w:val="005F42D5"/>
    <w:rsid w:val="00622062"/>
    <w:rsid w:val="00630024"/>
    <w:rsid w:val="00676A87"/>
    <w:rsid w:val="006A05FA"/>
    <w:rsid w:val="006A2314"/>
    <w:rsid w:val="006B1335"/>
    <w:rsid w:val="006B5276"/>
    <w:rsid w:val="006C7C5E"/>
    <w:rsid w:val="006D5A04"/>
    <w:rsid w:val="007132C4"/>
    <w:rsid w:val="00753AAA"/>
    <w:rsid w:val="007C09A5"/>
    <w:rsid w:val="007F1CAE"/>
    <w:rsid w:val="008107D0"/>
    <w:rsid w:val="00820277"/>
    <w:rsid w:val="0083596B"/>
    <w:rsid w:val="00855B7F"/>
    <w:rsid w:val="008565E7"/>
    <w:rsid w:val="008572BA"/>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6AAC"/>
    <w:rsid w:val="00990150"/>
    <w:rsid w:val="00990736"/>
    <w:rsid w:val="0099524E"/>
    <w:rsid w:val="009B5E51"/>
    <w:rsid w:val="009B7804"/>
    <w:rsid w:val="009C19CE"/>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F2FD3"/>
    <w:rsid w:val="00B12765"/>
    <w:rsid w:val="00B24E80"/>
    <w:rsid w:val="00B40335"/>
    <w:rsid w:val="00B416DB"/>
    <w:rsid w:val="00B43EC1"/>
    <w:rsid w:val="00B45F87"/>
    <w:rsid w:val="00B5619B"/>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F0376"/>
    <w:rsid w:val="00E1453E"/>
    <w:rsid w:val="00E20302"/>
    <w:rsid w:val="00E239CF"/>
    <w:rsid w:val="00E25059"/>
    <w:rsid w:val="00E419D9"/>
    <w:rsid w:val="00E44EBA"/>
    <w:rsid w:val="00E4535E"/>
    <w:rsid w:val="00E47C89"/>
    <w:rsid w:val="00E653D5"/>
    <w:rsid w:val="00E6699C"/>
    <w:rsid w:val="00E77E69"/>
    <w:rsid w:val="00E8439F"/>
    <w:rsid w:val="00EB7D39"/>
    <w:rsid w:val="00EC0B98"/>
    <w:rsid w:val="00EC310E"/>
    <w:rsid w:val="00ED66A1"/>
    <w:rsid w:val="00F1591F"/>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56d9260-ee54-11ea-991b-01aa75ed71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stats/policy_and_exchange_rates/euro_reference_exchange_rates/html/index.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01A4013CD230488CD99A71D6FD3071" ma:contentTypeVersion="40" ma:contentTypeDescription="Opprett et nytt dokument." ma:contentTypeScope="" ma:versionID="e97a4964e9d0d3f1d5ac92249d96b0be">
  <xsd:schema xmlns:xsd="http://www.w3.org/2001/XMLSchema" xmlns:xs="http://www.w3.org/2001/XMLSchema" xmlns:p="http://schemas.microsoft.com/office/2006/metadata/properties" xmlns:ns2="846faf31-5214-421a-a8d6-4cc20ec21c50" xmlns:ns3="a447b698-629d-4708-bebe-3ec93c5f42a4" targetNamespace="http://schemas.microsoft.com/office/2006/metadata/properties" ma:root="true" ma:fieldsID="6fc5a95b6d5763fdef91a36006a88cbc" ns2:_="" ns3:_="">
    <xsd:import namespace="846faf31-5214-421a-a8d6-4cc20ec21c50"/>
    <xsd:import namespace="a447b698-629d-4708-bebe-3ec93c5f42a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kumenttype" minOccurs="0"/>
                <xsd:element ref="ns2:S_x00f8_knadstypevariant" minOccurs="0"/>
                <xsd:element ref="ns2:MediaLengthInSeconds" minOccurs="0"/>
                <xsd:element ref="ns2:lcf76f155ced4ddcb4097134ff3c332f" minOccurs="0"/>
                <xsd:element ref="ns3:TaxCatchAll" minOccurs="0"/>
                <xsd:element ref="ns2:_x00c5_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faf31-5214-421a-a8d6-4cc20ec21c5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okumenttype" ma:index="39" nillable="true" ma:displayName="Dokumenttype" ma:format="Dropdown" ma:internalName="Dokumenttype">
      <xsd:complexType>
        <xsd:complexContent>
          <xsd:extension base="dms:MultiChoice">
            <xsd:sequence>
              <xsd:element name="Value" maxOccurs="unbounded" minOccurs="0" nillable="true">
                <xsd:simpleType>
                  <xsd:restriction base="dms:Choice">
                    <xsd:enumeration value="Veiledning"/>
                    <xsd:enumeration value="Vedtaksbrev"/>
                    <xsd:enumeration value="Rapport"/>
                    <xsd:enumeration value="Kontrakt"/>
                    <xsd:enumeration value="Utlysning"/>
                    <xsd:enumeration value="Regnskap"/>
                    <xsd:enumeration value="Habilitet"/>
                    <xsd:enumeration value="Eksperter"/>
                    <xsd:enumeration value="Saksfremlegg"/>
                    <xsd:enumeration value="Mal-dokument"/>
                    <xsd:enumeration value="Revidering"/>
                  </xsd:restriction>
                </xsd:simpleType>
              </xsd:element>
            </xsd:sequence>
          </xsd:extension>
        </xsd:complexContent>
      </xsd:complexType>
    </xsd:element>
    <xsd:element name="S_x00f8_knadstypevariant" ma:index="40" nillable="true" ma:displayName="Søknadstypevariant" ma:format="Dropdown" ma:internalName="S_x00f8_knadstypevariant">
      <xsd:complexType>
        <xsd:complexContent>
          <xsd:extension base="dms:MultiChoice">
            <xsd:sequence>
              <xsd:element name="Value" maxOccurs="unbounded" minOccurs="0" nillable="true">
                <xsd:simpleType>
                  <xsd:restriction base="dms:Choice">
                    <xsd:enumeration value="Felles"/>
                    <xsd:enumeration value="Verifisering"/>
                    <xsd:enumeration value="Kvalifisering"/>
                    <xsd:enumeration value="STUD-ENT"/>
                  </xsd:restriction>
                </xsd:simpleType>
              </xsd:element>
            </xsd:sequence>
          </xsd:extension>
        </xsd:complexContent>
      </xsd:complex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_x00c5_r" ma:index="45" nillable="true" ma:displayName="År" ma:description="Dersom det er et relevant år for dokumentet, f.eks. utlysningstekst for et gitt år, søknad inngitt, cut-off-runde e.l." ma:format="Dropdown" ma:internalName="_x00c5_r">
      <xsd:complexType>
        <xsd:complexContent>
          <xsd:extension base="dms:MultiChoiceFillIn">
            <xsd:sequence>
              <xsd:element name="Value" maxOccurs="unbounded" minOccurs="0" nillable="true">
                <xsd:simpleType>
                  <xsd:union memberTypes="dms:Text">
                    <xsd:simpleType>
                      <xsd:restriction base="dms:Choice">
                        <xsd:enumeration value="2022"/>
                        <xsd:enumeration value="2023"/>
                      </xsd:restriction>
                    </xsd:simpleType>
                  </xsd:union>
                </xsd:simpleType>
              </xsd:element>
            </xsd:sequence>
          </xsd:extension>
        </xsd:complexContent>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7b698-629d-4708-bebe-3ec93c5f42a4" elementFormDefault="qualified">
    <xsd:import namespace="http://schemas.microsoft.com/office/2006/documentManagement/types"/>
    <xsd:import namespace="http://schemas.microsoft.com/office/infopath/2007/PartnerControls"/>
    <xsd:element name="SharedWithUsers" ma:index="3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lingsdetaljer" ma:internalName="SharedWithDetails" ma:readOnly="true">
      <xsd:simpleType>
        <xsd:restriction base="dms:Note">
          <xsd:maxLength value="255"/>
        </xsd:restriction>
      </xsd:simpleType>
    </xsd:element>
    <xsd:element name="TaxCatchAll" ma:index="44" nillable="true" ma:displayName="Taxonomy Catch All Column" ma:hidden="true" ma:list="{2e41d477-2ced-4d0c-86d4-87284fcee100}" ma:internalName="TaxCatchAll" ma:showField="CatchAllData" ma:web="a447b698-629d-4708-bebe-3ec93c5f4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447b698-629d-4708-bebe-3ec93c5f42a4" xsi:nil="true"/>
    <Dokumenttype xmlns="846faf31-5214-421a-a8d6-4cc20ec21c50" xsi:nil="true"/>
    <lcf76f155ced4ddcb4097134ff3c332f xmlns="846faf31-5214-421a-a8d6-4cc20ec21c50">
      <Terms xmlns="http://schemas.microsoft.com/office/infopath/2007/PartnerControls"/>
    </lcf76f155ced4ddcb4097134ff3c332f>
    <CultureName xmlns="846faf31-5214-421a-a8d6-4cc20ec21c50" xsi:nil="true"/>
    <Leaders xmlns="846faf31-5214-421a-a8d6-4cc20ec21c50">
      <UserInfo>
        <DisplayName/>
        <AccountId xsi:nil="true"/>
        <AccountType/>
      </UserInfo>
    </Leaders>
    <_x00c5_r xmlns="846faf31-5214-421a-a8d6-4cc20ec21c50" xsi:nil="true"/>
    <IsNotebookLocked xmlns="846faf31-5214-421a-a8d6-4cc20ec21c50" xsi:nil="true"/>
    <DefaultSectionNames xmlns="846faf31-5214-421a-a8d6-4cc20ec21c50" xsi:nil="true"/>
    <Math_Settings xmlns="846faf31-5214-421a-a8d6-4cc20ec21c50" xsi:nil="true"/>
    <Invited_Members xmlns="846faf31-5214-421a-a8d6-4cc20ec21c50" xsi:nil="true"/>
    <Is_Collaboration_Space_Locked xmlns="846faf31-5214-421a-a8d6-4cc20ec21c50" xsi:nil="true"/>
    <Member_Groups xmlns="846faf31-5214-421a-a8d6-4cc20ec21c50">
      <UserInfo>
        <DisplayName/>
        <AccountId xsi:nil="true"/>
        <AccountType/>
      </UserInfo>
    </Member_Groups>
    <Self_Registration_Enabled xmlns="846faf31-5214-421a-a8d6-4cc20ec21c50" xsi:nil="true"/>
    <FolderType xmlns="846faf31-5214-421a-a8d6-4cc20ec21c50" xsi:nil="true"/>
    <Distribution_Groups xmlns="846faf31-5214-421a-a8d6-4cc20ec21c50" xsi:nil="true"/>
    <AppVersion xmlns="846faf31-5214-421a-a8d6-4cc20ec21c50" xsi:nil="true"/>
    <Templates xmlns="846faf31-5214-421a-a8d6-4cc20ec21c50" xsi:nil="true"/>
    <Members xmlns="846faf31-5214-421a-a8d6-4cc20ec21c50">
      <UserInfo>
        <DisplayName/>
        <AccountId xsi:nil="true"/>
        <AccountType/>
      </UserInfo>
    </Members>
    <Has_Leaders_Only_SectionGroup xmlns="846faf31-5214-421a-a8d6-4cc20ec21c50" xsi:nil="true"/>
    <NotebookType xmlns="846faf31-5214-421a-a8d6-4cc20ec21c50" xsi:nil="true"/>
    <TeamsChannelId xmlns="846faf31-5214-421a-a8d6-4cc20ec21c50" xsi:nil="true"/>
    <Invited_Leaders xmlns="846faf31-5214-421a-a8d6-4cc20ec21c50" xsi:nil="true"/>
    <Owner xmlns="846faf31-5214-421a-a8d6-4cc20ec21c50">
      <UserInfo>
        <DisplayName/>
        <AccountId xsi:nil="true"/>
        <AccountType/>
      </UserInfo>
    </Owner>
    <LMS_Mappings xmlns="846faf31-5214-421a-a8d6-4cc20ec21c50" xsi:nil="true"/>
    <S_x00f8_knadstypevariant xmlns="846faf31-5214-421a-a8d6-4cc20ec21c50" xsi:nil="true"/>
    <SharedWithUsers xmlns="a447b698-629d-4708-bebe-3ec93c5f42a4">
      <UserInfo>
        <DisplayName>Thomas Keilman</DisplayName>
        <AccountId>513</AccountId>
        <AccountType/>
      </UserInfo>
      <UserInfo>
        <DisplayName>Line Hallenstvedt Bjørvik</DisplayName>
        <AccountId>162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75A71-C727-4129-ABAD-916A4AB1D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faf31-5214-421a-a8d6-4cc20ec21c50"/>
    <ds:schemaRef ds:uri="a447b698-629d-4708-bebe-3ec93c5f4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3.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a447b698-629d-4708-bebe-3ec93c5f42a4"/>
    <ds:schemaRef ds:uri="846faf31-5214-421a-a8d6-4cc20ec21c50"/>
  </ds:schemaRefs>
</ds:datastoreItem>
</file>

<file path=customXml/itemProps4.xml><?xml version="1.0" encoding="utf-8"?>
<ds:datastoreItem xmlns:ds="http://schemas.openxmlformats.org/officeDocument/2006/customXml" ds:itemID="{DC970EDB-D836-4F56-A277-8C9583DC9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1846</Words>
  <Characters>10523</Characters>
  <Application>Microsoft Office Word</Application>
  <DocSecurity>0</DocSecurity>
  <Lines>87</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Thomas Keilman</cp:lastModifiedBy>
  <cp:revision>7</cp:revision>
  <cp:lastPrinted>2015-11-26T09:26:00Z</cp:lastPrinted>
  <dcterms:created xsi:type="dcterms:W3CDTF">2023-03-06T10:02:00Z</dcterms:created>
  <dcterms:modified xsi:type="dcterms:W3CDTF">2024-02-06T08:22:00Z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0x0101005901A4013CD230488CD99A71D6FD3071</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